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EE" w:rsidRDefault="006440EE" w:rsidP="006440EE">
      <w:pPr>
        <w:jc w:val="right"/>
        <w:rPr>
          <w:noProof/>
        </w:rPr>
      </w:pPr>
      <w:r>
        <w:rPr>
          <w:noProof/>
        </w:rPr>
        <w:t>Ляховичский райисполком</w:t>
      </w:r>
    </w:p>
    <w:p w:rsidR="006440EE" w:rsidRPr="006440EE" w:rsidRDefault="006440EE" w:rsidP="006440EE">
      <w:pPr>
        <w:jc w:val="right"/>
        <w:rPr>
          <w:sz w:val="30"/>
          <w:szCs w:val="30"/>
        </w:rPr>
      </w:pPr>
    </w:p>
    <w:p w:rsidR="006440EE" w:rsidRDefault="006440EE" w:rsidP="006440EE">
      <w:pPr>
        <w:jc w:val="right"/>
        <w:rPr>
          <w:sz w:val="30"/>
          <w:szCs w:val="30"/>
        </w:rPr>
      </w:pPr>
    </w:p>
    <w:p w:rsidR="006440EE" w:rsidRDefault="006440EE" w:rsidP="006440EE">
      <w:pPr>
        <w:jc w:val="center"/>
        <w:rPr>
          <w:sz w:val="30"/>
          <w:szCs w:val="30"/>
        </w:rPr>
      </w:pPr>
      <w:r w:rsidRPr="00807FCE">
        <w:rPr>
          <w:sz w:val="30"/>
          <w:szCs w:val="30"/>
        </w:rPr>
        <w:t>П</w:t>
      </w:r>
      <w:r>
        <w:rPr>
          <w:sz w:val="30"/>
          <w:szCs w:val="30"/>
        </w:rPr>
        <w:t>лан развития ООО «ТМТ» до 2025 года</w:t>
      </w:r>
    </w:p>
    <w:p w:rsidR="006440EE" w:rsidRDefault="006440EE" w:rsidP="006440EE">
      <w:pPr>
        <w:jc w:val="center"/>
        <w:rPr>
          <w:sz w:val="30"/>
          <w:szCs w:val="30"/>
        </w:rPr>
      </w:pPr>
    </w:p>
    <w:p w:rsidR="006440EE" w:rsidRPr="003F57E9" w:rsidRDefault="006440EE" w:rsidP="006440EE">
      <w:pPr>
        <w:pStyle w:val="a3"/>
        <w:numPr>
          <w:ilvl w:val="0"/>
          <w:numId w:val="1"/>
        </w:numPr>
        <w:spacing w:after="160" w:line="259" w:lineRule="auto"/>
        <w:jc w:val="both"/>
        <w:rPr>
          <w:b/>
          <w:sz w:val="30"/>
          <w:szCs w:val="30"/>
        </w:rPr>
      </w:pPr>
      <w:r w:rsidRPr="003F57E9">
        <w:rPr>
          <w:b/>
          <w:sz w:val="30"/>
          <w:szCs w:val="30"/>
        </w:rPr>
        <w:t>Показатели производственно-финансовой деятельности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1213"/>
        <w:gridCol w:w="982"/>
        <w:gridCol w:w="1145"/>
        <w:gridCol w:w="984"/>
        <w:gridCol w:w="1095"/>
        <w:gridCol w:w="1095"/>
        <w:gridCol w:w="1251"/>
        <w:gridCol w:w="1276"/>
      </w:tblGrid>
      <w:tr w:rsidR="006440EE" w:rsidRPr="00B55EFD" w:rsidTr="004C4AAD">
        <w:trPr>
          <w:trHeight w:val="1095"/>
        </w:trPr>
        <w:tc>
          <w:tcPr>
            <w:tcW w:w="2016" w:type="dxa"/>
            <w:vMerge w:val="restart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jc w:val="center"/>
              <w:rPr>
                <w:color w:val="000000"/>
                <w:sz w:val="22"/>
                <w:szCs w:val="22"/>
              </w:rPr>
            </w:pPr>
            <w:r w:rsidRPr="00B55EFD">
              <w:rPr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13" w:type="dxa"/>
            <w:vMerge w:val="restart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jc w:val="center"/>
              <w:rPr>
                <w:color w:val="000000"/>
                <w:sz w:val="22"/>
                <w:szCs w:val="22"/>
              </w:rPr>
            </w:pPr>
            <w:r w:rsidRPr="00B55EFD">
              <w:rPr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jc w:val="center"/>
              <w:rPr>
                <w:color w:val="000000"/>
                <w:sz w:val="22"/>
                <w:szCs w:val="22"/>
              </w:rPr>
            </w:pPr>
            <w:r w:rsidRPr="00B55EFD">
              <w:rPr>
                <w:bCs/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6846" w:type="dxa"/>
            <w:gridSpan w:val="6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jc w:val="center"/>
              <w:rPr>
                <w:color w:val="000000"/>
                <w:sz w:val="22"/>
                <w:szCs w:val="22"/>
              </w:rPr>
            </w:pPr>
            <w:r w:rsidRPr="00B55EFD">
              <w:rPr>
                <w:bCs/>
                <w:color w:val="000000"/>
                <w:sz w:val="22"/>
                <w:szCs w:val="22"/>
              </w:rPr>
              <w:t>ожидаемое</w:t>
            </w:r>
          </w:p>
        </w:tc>
      </w:tr>
      <w:tr w:rsidR="006440EE" w:rsidRPr="00B55EFD" w:rsidTr="004C4AAD">
        <w:trPr>
          <w:trHeight w:val="315"/>
        </w:trPr>
        <w:tc>
          <w:tcPr>
            <w:tcW w:w="2016" w:type="dxa"/>
            <w:vMerge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vMerge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jc w:val="center"/>
              <w:rPr>
                <w:color w:val="000000"/>
                <w:sz w:val="22"/>
                <w:szCs w:val="22"/>
              </w:rPr>
            </w:pPr>
            <w:r w:rsidRPr="00B55EFD">
              <w:rPr>
                <w:bCs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jc w:val="center"/>
              <w:rPr>
                <w:color w:val="000000"/>
                <w:sz w:val="22"/>
                <w:szCs w:val="22"/>
              </w:rPr>
            </w:pPr>
            <w:r w:rsidRPr="00B55EFD">
              <w:rPr>
                <w:bCs/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jc w:val="center"/>
              <w:rPr>
                <w:color w:val="000000"/>
                <w:sz w:val="22"/>
                <w:szCs w:val="22"/>
              </w:rPr>
            </w:pPr>
            <w:r w:rsidRPr="00B55EFD">
              <w:rPr>
                <w:bCs/>
                <w:color w:val="000000"/>
                <w:sz w:val="22"/>
                <w:szCs w:val="22"/>
              </w:rPr>
              <w:t xml:space="preserve">2021 г.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jc w:val="center"/>
              <w:rPr>
                <w:color w:val="000000"/>
                <w:sz w:val="22"/>
                <w:szCs w:val="22"/>
              </w:rPr>
            </w:pPr>
            <w:r w:rsidRPr="00B55EFD">
              <w:rPr>
                <w:bCs/>
                <w:color w:val="000000"/>
                <w:sz w:val="22"/>
                <w:szCs w:val="22"/>
              </w:rPr>
              <w:t xml:space="preserve">2022 г.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jc w:val="center"/>
              <w:rPr>
                <w:color w:val="000000"/>
                <w:sz w:val="22"/>
                <w:szCs w:val="22"/>
              </w:rPr>
            </w:pPr>
            <w:r w:rsidRPr="00B55EFD">
              <w:rPr>
                <w:bCs/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jc w:val="center"/>
              <w:rPr>
                <w:color w:val="000000"/>
                <w:sz w:val="22"/>
                <w:szCs w:val="22"/>
              </w:rPr>
            </w:pPr>
            <w:r w:rsidRPr="00B55EFD">
              <w:rPr>
                <w:bCs/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jc w:val="center"/>
              <w:rPr>
                <w:color w:val="000000"/>
                <w:sz w:val="22"/>
                <w:szCs w:val="22"/>
              </w:rPr>
            </w:pPr>
            <w:r w:rsidRPr="00B55EFD">
              <w:rPr>
                <w:bCs/>
                <w:color w:val="000000"/>
                <w:sz w:val="22"/>
                <w:szCs w:val="22"/>
              </w:rPr>
              <w:t>2025 г.</w:t>
            </w:r>
          </w:p>
        </w:tc>
      </w:tr>
      <w:tr w:rsidR="006440EE" w:rsidRPr="00B55EFD" w:rsidTr="004C4AAD">
        <w:trPr>
          <w:trHeight w:val="2160"/>
        </w:trPr>
        <w:tc>
          <w:tcPr>
            <w:tcW w:w="2016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>Объем производства продукции в факт</w:t>
            </w:r>
            <w:proofErr w:type="gramStart"/>
            <w:r w:rsidRPr="00B55EFD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B55EFD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55EFD">
              <w:rPr>
                <w:color w:val="000000"/>
                <w:sz w:val="22"/>
                <w:szCs w:val="22"/>
              </w:rPr>
              <w:t>ц</w:t>
            </w:r>
            <w:proofErr w:type="gramEnd"/>
            <w:r w:rsidRPr="00B55EFD">
              <w:rPr>
                <w:color w:val="000000"/>
                <w:sz w:val="22"/>
                <w:szCs w:val="22"/>
              </w:rPr>
              <w:t>енах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jc w:val="center"/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2,05   </w:t>
            </w:r>
          </w:p>
        </w:tc>
        <w:tc>
          <w:tcPr>
            <w:tcW w:w="1145" w:type="dxa"/>
            <w:shd w:val="clear" w:color="000000" w:fill="FFFFFF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2,10   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3,20   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5,30   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7,30   </w:t>
            </w:r>
          </w:p>
        </w:tc>
        <w:tc>
          <w:tcPr>
            <w:tcW w:w="1251" w:type="dxa"/>
            <w:shd w:val="clear" w:color="000000" w:fill="FFFFFF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8,40  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8,80   </w:t>
            </w:r>
          </w:p>
        </w:tc>
      </w:tr>
      <w:tr w:rsidR="006440EE" w:rsidRPr="00B55EFD" w:rsidTr="004C4AAD">
        <w:trPr>
          <w:trHeight w:val="1238"/>
        </w:trPr>
        <w:tc>
          <w:tcPr>
            <w:tcW w:w="2016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55EFD">
              <w:rPr>
                <w:i/>
                <w:iCs/>
                <w:color w:val="000000"/>
                <w:sz w:val="22"/>
                <w:szCs w:val="22"/>
              </w:rPr>
              <w:t>Темп к предыдущему году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5EFD">
              <w:rPr>
                <w:i/>
                <w:i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102,44   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152,38  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165,63  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137,74   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115,07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104,76   </w:t>
            </w:r>
          </w:p>
        </w:tc>
      </w:tr>
      <w:tr w:rsidR="006440EE" w:rsidRPr="00B55EFD" w:rsidTr="004C4AAD">
        <w:trPr>
          <w:trHeight w:val="3075"/>
        </w:trPr>
        <w:tc>
          <w:tcPr>
            <w:tcW w:w="2016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Объем производства по основным видам в натуральном выражении 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5EFD">
              <w:rPr>
                <w:i/>
                <w:iCs/>
                <w:color w:val="000000"/>
                <w:sz w:val="22"/>
                <w:szCs w:val="22"/>
              </w:rPr>
              <w:t xml:space="preserve">в соотв. </w:t>
            </w:r>
            <w:proofErr w:type="spellStart"/>
            <w:proofErr w:type="gramStart"/>
            <w:r w:rsidRPr="00B55EFD">
              <w:rPr>
                <w:i/>
                <w:iCs/>
                <w:color w:val="000000"/>
                <w:sz w:val="22"/>
                <w:szCs w:val="22"/>
              </w:rPr>
              <w:t>Ед</w:t>
            </w:r>
            <w:proofErr w:type="spellEnd"/>
            <w:proofErr w:type="gramEnd"/>
            <w:r w:rsidRPr="00B55EFD">
              <w:rPr>
                <w:i/>
                <w:iCs/>
                <w:color w:val="000000"/>
                <w:sz w:val="22"/>
                <w:szCs w:val="22"/>
              </w:rPr>
              <w:t xml:space="preserve"> (тонны)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413,00   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430,00   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689,00  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875,00  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984,00   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1 020,00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1 034,00   </w:t>
            </w:r>
          </w:p>
        </w:tc>
      </w:tr>
      <w:tr w:rsidR="006440EE" w:rsidRPr="00B55EFD" w:rsidTr="004C4AAD">
        <w:trPr>
          <w:trHeight w:val="1230"/>
        </w:trPr>
        <w:tc>
          <w:tcPr>
            <w:tcW w:w="2016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55EFD">
              <w:rPr>
                <w:i/>
                <w:iCs/>
                <w:color w:val="000000"/>
                <w:sz w:val="22"/>
                <w:szCs w:val="22"/>
              </w:rPr>
              <w:t>Темп к предыдущему году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5EFD">
              <w:rPr>
                <w:i/>
                <w:i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104,12   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160,23  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127,00  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112,46   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103,66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101,37   </w:t>
            </w:r>
          </w:p>
        </w:tc>
      </w:tr>
      <w:tr w:rsidR="006440EE" w:rsidRPr="00B55EFD" w:rsidTr="004C4AAD">
        <w:trPr>
          <w:trHeight w:val="2468"/>
        </w:trPr>
        <w:tc>
          <w:tcPr>
            <w:tcW w:w="2016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>Удельный вес отгруженной инновационной продукции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jc w:val="center"/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           -     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1,20   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4,40  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7,60  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13,90   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18,10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19,70   </w:t>
            </w:r>
          </w:p>
        </w:tc>
      </w:tr>
      <w:tr w:rsidR="006440EE" w:rsidRPr="00B55EFD" w:rsidTr="004C4AAD">
        <w:trPr>
          <w:trHeight w:val="930"/>
        </w:trPr>
        <w:tc>
          <w:tcPr>
            <w:tcW w:w="2016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lastRenderedPageBreak/>
              <w:t>Экспорт товаров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jc w:val="center"/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>тыс. долл. США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5,00   </w:t>
            </w:r>
          </w:p>
        </w:tc>
        <w:tc>
          <w:tcPr>
            <w:tcW w:w="1145" w:type="dxa"/>
            <w:shd w:val="clear" w:color="000000" w:fill="FFFFFF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15,00   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75,00   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155,00   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300,00   </w:t>
            </w:r>
          </w:p>
        </w:tc>
        <w:tc>
          <w:tcPr>
            <w:tcW w:w="1251" w:type="dxa"/>
            <w:shd w:val="clear" w:color="000000" w:fill="FFFFFF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390,00  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425,00   </w:t>
            </w:r>
          </w:p>
        </w:tc>
      </w:tr>
      <w:tr w:rsidR="006440EE" w:rsidRPr="00B55EFD" w:rsidTr="004C4AAD">
        <w:trPr>
          <w:trHeight w:val="1238"/>
        </w:trPr>
        <w:tc>
          <w:tcPr>
            <w:tcW w:w="2016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55EFD">
              <w:rPr>
                <w:i/>
                <w:iCs/>
                <w:color w:val="000000"/>
                <w:sz w:val="22"/>
                <w:szCs w:val="22"/>
              </w:rPr>
              <w:t>Темп к предыдущему году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5EFD">
              <w:rPr>
                <w:i/>
                <w:i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300,00   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500,00  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206,67  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193,55   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130,00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108,97   </w:t>
            </w:r>
          </w:p>
        </w:tc>
      </w:tr>
      <w:tr w:rsidR="006440EE" w:rsidRPr="00B55EFD" w:rsidTr="004C4AAD">
        <w:trPr>
          <w:trHeight w:val="930"/>
        </w:trPr>
        <w:tc>
          <w:tcPr>
            <w:tcW w:w="2016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>Экспорт услуг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jc w:val="center"/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>тыс. долл. США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           -     </w:t>
            </w:r>
          </w:p>
        </w:tc>
        <w:tc>
          <w:tcPr>
            <w:tcW w:w="1145" w:type="dxa"/>
            <w:shd w:val="clear" w:color="000000" w:fill="FFFFFF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               -     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           -     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              -     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              -     </w:t>
            </w:r>
          </w:p>
        </w:tc>
        <w:tc>
          <w:tcPr>
            <w:tcW w:w="1251" w:type="dxa"/>
            <w:shd w:val="clear" w:color="000000" w:fill="FFFFFF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              -    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              -     </w:t>
            </w:r>
          </w:p>
        </w:tc>
      </w:tr>
      <w:tr w:rsidR="006440EE" w:rsidRPr="00B55EFD" w:rsidTr="004C4AAD">
        <w:trPr>
          <w:trHeight w:val="1238"/>
        </w:trPr>
        <w:tc>
          <w:tcPr>
            <w:tcW w:w="2016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55EFD">
              <w:rPr>
                <w:i/>
                <w:iCs/>
                <w:color w:val="000000"/>
                <w:sz w:val="22"/>
                <w:szCs w:val="22"/>
              </w:rPr>
              <w:t>Темп к предыдущему году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5EFD">
              <w:rPr>
                <w:i/>
                <w:i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5" w:type="dxa"/>
            <w:shd w:val="clear" w:color="000000" w:fill="FFFFFF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               -     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           -     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              -     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              -     </w:t>
            </w:r>
          </w:p>
        </w:tc>
        <w:tc>
          <w:tcPr>
            <w:tcW w:w="1251" w:type="dxa"/>
            <w:shd w:val="clear" w:color="000000" w:fill="FFFFFF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              -    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              -     </w:t>
            </w:r>
          </w:p>
        </w:tc>
      </w:tr>
      <w:tr w:rsidR="006440EE" w:rsidRPr="00B55EFD" w:rsidTr="004C4AAD">
        <w:trPr>
          <w:trHeight w:val="1545"/>
        </w:trPr>
        <w:tc>
          <w:tcPr>
            <w:tcW w:w="2016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Среднесписочная численность 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jc w:val="center"/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48,00   </w:t>
            </w:r>
          </w:p>
        </w:tc>
        <w:tc>
          <w:tcPr>
            <w:tcW w:w="1145" w:type="dxa"/>
            <w:shd w:val="clear" w:color="000000" w:fill="FFFFFF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51,00   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55,00   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59,00   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64,00   </w:t>
            </w:r>
          </w:p>
        </w:tc>
        <w:tc>
          <w:tcPr>
            <w:tcW w:w="1251" w:type="dxa"/>
            <w:shd w:val="clear" w:color="000000" w:fill="FFFFFF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69,00  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71,00   </w:t>
            </w:r>
          </w:p>
        </w:tc>
      </w:tr>
      <w:tr w:rsidR="006440EE" w:rsidRPr="00B55EFD" w:rsidTr="004C4AAD">
        <w:trPr>
          <w:trHeight w:val="1238"/>
        </w:trPr>
        <w:tc>
          <w:tcPr>
            <w:tcW w:w="2016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55EFD">
              <w:rPr>
                <w:i/>
                <w:iCs/>
                <w:color w:val="000000"/>
                <w:sz w:val="22"/>
                <w:szCs w:val="22"/>
              </w:rPr>
              <w:t>Темп к предыдущему году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5EFD">
              <w:rPr>
                <w:i/>
                <w:i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106,25   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107,84  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107,27  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108,47   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107,81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102,90   </w:t>
            </w:r>
          </w:p>
        </w:tc>
      </w:tr>
      <w:tr w:rsidR="006440EE" w:rsidRPr="00B55EFD" w:rsidTr="004C4AAD">
        <w:trPr>
          <w:trHeight w:val="1238"/>
        </w:trPr>
        <w:tc>
          <w:tcPr>
            <w:tcW w:w="2016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Среднемесячная заработная плата 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jc w:val="center"/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703,42   </w:t>
            </w:r>
          </w:p>
        </w:tc>
        <w:tc>
          <w:tcPr>
            <w:tcW w:w="1145" w:type="dxa"/>
            <w:shd w:val="clear" w:color="000000" w:fill="FFFFFF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B55EFD">
              <w:rPr>
                <w:color w:val="000000"/>
                <w:sz w:val="22"/>
                <w:szCs w:val="22"/>
              </w:rPr>
              <w:t xml:space="preserve">891,20   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896,50   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979,40   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990,30   </w:t>
            </w:r>
          </w:p>
        </w:tc>
        <w:tc>
          <w:tcPr>
            <w:tcW w:w="1251" w:type="dxa"/>
            <w:shd w:val="clear" w:color="000000" w:fill="FFFFFF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990,30  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1 015,00   </w:t>
            </w:r>
          </w:p>
        </w:tc>
      </w:tr>
      <w:tr w:rsidR="006440EE" w:rsidRPr="00B55EFD" w:rsidTr="004C4AAD">
        <w:trPr>
          <w:trHeight w:val="1238"/>
        </w:trPr>
        <w:tc>
          <w:tcPr>
            <w:tcW w:w="2016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55EFD">
              <w:rPr>
                <w:i/>
                <w:iCs/>
                <w:color w:val="000000"/>
                <w:sz w:val="22"/>
                <w:szCs w:val="22"/>
              </w:rPr>
              <w:t>Темп к предыдущему году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5EFD">
              <w:rPr>
                <w:i/>
                <w:iCs/>
                <w:color w:val="000000"/>
                <w:sz w:val="22"/>
                <w:szCs w:val="22"/>
              </w:rPr>
              <w:t>%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126,70   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100,59  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109,25  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101,11   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100,00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102,49   </w:t>
            </w:r>
          </w:p>
        </w:tc>
      </w:tr>
      <w:tr w:rsidR="006440EE" w:rsidRPr="00B55EFD" w:rsidTr="004C4AAD">
        <w:trPr>
          <w:trHeight w:val="1238"/>
        </w:trPr>
        <w:tc>
          <w:tcPr>
            <w:tcW w:w="2016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>Выручка от реализации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jc w:val="center"/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2,05   </w:t>
            </w:r>
          </w:p>
        </w:tc>
        <w:tc>
          <w:tcPr>
            <w:tcW w:w="1145" w:type="dxa"/>
            <w:shd w:val="clear" w:color="000000" w:fill="FFFFFF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2,10   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3,20   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5,30   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7,30   </w:t>
            </w:r>
          </w:p>
        </w:tc>
        <w:tc>
          <w:tcPr>
            <w:tcW w:w="1251" w:type="dxa"/>
            <w:shd w:val="clear" w:color="000000" w:fill="FFFFFF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8,40  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8,80   </w:t>
            </w:r>
          </w:p>
        </w:tc>
      </w:tr>
      <w:tr w:rsidR="006440EE" w:rsidRPr="00B55EFD" w:rsidTr="004C4AAD">
        <w:trPr>
          <w:trHeight w:val="1238"/>
        </w:trPr>
        <w:tc>
          <w:tcPr>
            <w:tcW w:w="2016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55EFD">
              <w:rPr>
                <w:i/>
                <w:iCs/>
                <w:color w:val="000000"/>
                <w:sz w:val="22"/>
                <w:szCs w:val="22"/>
              </w:rPr>
              <w:t>Темп к предыдущему году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55EFD"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102,44   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152,38  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165,63   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137,74   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115,07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104,76   </w:t>
            </w:r>
          </w:p>
        </w:tc>
      </w:tr>
      <w:tr w:rsidR="006440EE" w:rsidRPr="00B55EFD" w:rsidTr="004C4AAD">
        <w:trPr>
          <w:trHeight w:val="623"/>
        </w:trPr>
        <w:tc>
          <w:tcPr>
            <w:tcW w:w="2016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>Чистая прибыль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jc w:val="center"/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           -     </w:t>
            </w:r>
          </w:p>
        </w:tc>
        <w:tc>
          <w:tcPr>
            <w:tcW w:w="1145" w:type="dxa"/>
            <w:shd w:val="clear" w:color="000000" w:fill="FFFFFF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12,00   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184,00   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 1 068,00   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2 004,00   </w:t>
            </w:r>
          </w:p>
        </w:tc>
        <w:tc>
          <w:tcPr>
            <w:tcW w:w="1251" w:type="dxa"/>
            <w:shd w:val="clear" w:color="000000" w:fill="FFFFFF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2 552,00  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2 713,00   </w:t>
            </w:r>
          </w:p>
        </w:tc>
      </w:tr>
      <w:tr w:rsidR="006440EE" w:rsidRPr="00B55EFD" w:rsidTr="004C4AAD">
        <w:trPr>
          <w:trHeight w:val="930"/>
        </w:trPr>
        <w:tc>
          <w:tcPr>
            <w:tcW w:w="2016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Рентабельность продаж 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jc w:val="center"/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5" w:type="dxa"/>
            <w:shd w:val="clear" w:color="000000" w:fill="FFFFFF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           0,57   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       5,75   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        20,15   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        27,45   </w:t>
            </w:r>
          </w:p>
        </w:tc>
        <w:tc>
          <w:tcPr>
            <w:tcW w:w="1251" w:type="dxa"/>
            <w:shd w:val="clear" w:color="000000" w:fill="FFFFFF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        30,38  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40EE" w:rsidRPr="00B55EFD" w:rsidRDefault="006440EE" w:rsidP="004C4AAD">
            <w:pPr>
              <w:rPr>
                <w:color w:val="000000"/>
                <w:sz w:val="22"/>
                <w:szCs w:val="22"/>
              </w:rPr>
            </w:pPr>
            <w:r w:rsidRPr="00B55EFD">
              <w:rPr>
                <w:color w:val="000000"/>
                <w:sz w:val="22"/>
                <w:szCs w:val="22"/>
              </w:rPr>
              <w:t xml:space="preserve">        30,83   </w:t>
            </w:r>
          </w:p>
        </w:tc>
      </w:tr>
    </w:tbl>
    <w:p w:rsidR="006440EE" w:rsidRDefault="006440EE" w:rsidP="006440EE">
      <w:pPr>
        <w:pStyle w:val="a3"/>
        <w:spacing w:after="160" w:line="259" w:lineRule="auto"/>
        <w:jc w:val="both"/>
        <w:rPr>
          <w:sz w:val="30"/>
          <w:szCs w:val="30"/>
        </w:rPr>
      </w:pPr>
    </w:p>
    <w:p w:rsidR="006440EE" w:rsidRDefault="006440EE" w:rsidP="006440EE">
      <w:pPr>
        <w:pStyle w:val="a3"/>
        <w:spacing w:after="160" w:line="259" w:lineRule="auto"/>
        <w:jc w:val="both"/>
        <w:rPr>
          <w:sz w:val="30"/>
          <w:szCs w:val="30"/>
        </w:rPr>
      </w:pPr>
    </w:p>
    <w:p w:rsidR="006440EE" w:rsidRDefault="006440EE" w:rsidP="006440EE">
      <w:pPr>
        <w:rPr>
          <w:sz w:val="30"/>
          <w:szCs w:val="30"/>
        </w:rPr>
      </w:pPr>
    </w:p>
    <w:p w:rsidR="006440EE" w:rsidRPr="003F57E9" w:rsidRDefault="006440EE" w:rsidP="006440EE">
      <w:pPr>
        <w:numPr>
          <w:ilvl w:val="0"/>
          <w:numId w:val="1"/>
        </w:numPr>
        <w:ind w:firstLine="709"/>
        <w:jc w:val="both"/>
        <w:rPr>
          <w:szCs w:val="28"/>
        </w:rPr>
      </w:pPr>
      <w:r w:rsidRPr="003F57E9">
        <w:rPr>
          <w:b/>
          <w:szCs w:val="28"/>
        </w:rPr>
        <w:t xml:space="preserve"> Инвестиционные и инновационные проекты, планируемые к реализации в 2020-2025 гг. </w:t>
      </w:r>
    </w:p>
    <w:p w:rsidR="006440EE" w:rsidRDefault="006440EE" w:rsidP="006440EE">
      <w:pPr>
        <w:ind w:left="1429"/>
        <w:jc w:val="both"/>
        <w:rPr>
          <w:i/>
          <w:szCs w:val="28"/>
        </w:rPr>
      </w:pPr>
    </w:p>
    <w:p w:rsidR="006440EE" w:rsidRPr="003F57E9" w:rsidRDefault="006440EE" w:rsidP="006440EE">
      <w:pPr>
        <w:ind w:firstLine="851"/>
        <w:jc w:val="both"/>
        <w:rPr>
          <w:szCs w:val="28"/>
        </w:rPr>
      </w:pPr>
      <w:r w:rsidRPr="003F57E9">
        <w:rPr>
          <w:szCs w:val="28"/>
        </w:rPr>
        <w:t>В 2020 г. Созданы предпосылки, а в 2021-2025 году планируется реализация инновационного проекта:</w:t>
      </w:r>
    </w:p>
    <w:p w:rsidR="006440EE" w:rsidRDefault="006440EE" w:rsidP="006440EE">
      <w:pPr>
        <w:ind w:firstLine="851"/>
        <w:jc w:val="both"/>
        <w:rPr>
          <w:szCs w:val="28"/>
        </w:rPr>
      </w:pPr>
      <w:r w:rsidRPr="00385872">
        <w:rPr>
          <w:szCs w:val="28"/>
        </w:rPr>
        <w:t>«</w:t>
      </w:r>
      <w:r>
        <w:rPr>
          <w:i/>
          <w:szCs w:val="28"/>
        </w:rPr>
        <w:t>Производство нержавеющих сталей метод литья по газифицируемым моделям и в холодно-твердеющие смеси</w:t>
      </w:r>
      <w:r w:rsidRPr="00385872">
        <w:rPr>
          <w:szCs w:val="28"/>
        </w:rPr>
        <w:t>».</w:t>
      </w:r>
    </w:p>
    <w:p w:rsidR="006440EE" w:rsidRPr="00385872" w:rsidRDefault="006440EE" w:rsidP="006440EE">
      <w:pPr>
        <w:ind w:firstLine="851"/>
        <w:jc w:val="both"/>
        <w:rPr>
          <w:szCs w:val="28"/>
        </w:rPr>
      </w:pPr>
      <w:r w:rsidRPr="00385872">
        <w:rPr>
          <w:szCs w:val="28"/>
        </w:rPr>
        <w:t xml:space="preserve"> Отличительной особенностью проекта является то, что в результате его реализации предприятие предполагает освоить выпуск импортозамещающих номенклатурных позиций </w:t>
      </w:r>
      <w:r>
        <w:rPr>
          <w:szCs w:val="28"/>
        </w:rPr>
        <w:t>корпусов датчика массы</w:t>
      </w:r>
      <w:r w:rsidRPr="00385872">
        <w:rPr>
          <w:szCs w:val="28"/>
        </w:rPr>
        <w:t xml:space="preserve"> </w:t>
      </w:r>
      <w:r>
        <w:rPr>
          <w:szCs w:val="28"/>
        </w:rPr>
        <w:t xml:space="preserve">для бумажной продукции, корпусов насосов для агрессивных сред, запасных частей (импеллеры, броневые пластины, рабочие колеса) для турбин </w:t>
      </w:r>
      <w:proofErr w:type="spellStart"/>
      <w:r>
        <w:rPr>
          <w:szCs w:val="28"/>
        </w:rPr>
        <w:t>дробеметного</w:t>
      </w:r>
      <w:proofErr w:type="spellEnd"/>
      <w:r>
        <w:rPr>
          <w:szCs w:val="28"/>
        </w:rPr>
        <w:t xml:space="preserve"> оборудования. В</w:t>
      </w:r>
      <w:r w:rsidRPr="00385872">
        <w:rPr>
          <w:szCs w:val="28"/>
        </w:rPr>
        <w:t xml:space="preserve"> настоящий момент </w:t>
      </w:r>
      <w:r>
        <w:rPr>
          <w:szCs w:val="28"/>
        </w:rPr>
        <w:t xml:space="preserve">эти позиции </w:t>
      </w:r>
      <w:r w:rsidRPr="00385872">
        <w:rPr>
          <w:szCs w:val="28"/>
        </w:rPr>
        <w:t>на территории РБ</w:t>
      </w:r>
      <w:r>
        <w:rPr>
          <w:szCs w:val="28"/>
        </w:rPr>
        <w:t xml:space="preserve"> не производятся</w:t>
      </w:r>
      <w:r w:rsidRPr="00385872">
        <w:rPr>
          <w:szCs w:val="28"/>
        </w:rPr>
        <w:t>. Производимая продукция позволит заменить импортные поставки в РБ и нарастить объемы поставок продукции на экспорт. Это позволит обеспечить с 201</w:t>
      </w:r>
      <w:r>
        <w:rPr>
          <w:szCs w:val="28"/>
        </w:rPr>
        <w:t>9</w:t>
      </w:r>
      <w:r w:rsidRPr="00385872">
        <w:rPr>
          <w:szCs w:val="28"/>
        </w:rPr>
        <w:t xml:space="preserve"> года прирост </w:t>
      </w:r>
      <w:r>
        <w:rPr>
          <w:szCs w:val="28"/>
        </w:rPr>
        <w:t>существенный прирост производства более чем в два раза к 2025 году.</w:t>
      </w:r>
      <w:r w:rsidRPr="00385872">
        <w:rPr>
          <w:szCs w:val="28"/>
        </w:rPr>
        <w:t xml:space="preserve"> Удельный вес инн</w:t>
      </w:r>
      <w:r>
        <w:rPr>
          <w:szCs w:val="28"/>
        </w:rPr>
        <w:t>овационной продукции к 2025 г. увеличиться до 3</w:t>
      </w:r>
      <w:r w:rsidRPr="00385872">
        <w:rPr>
          <w:szCs w:val="28"/>
        </w:rPr>
        <w:t>0</w:t>
      </w:r>
      <w:r>
        <w:rPr>
          <w:szCs w:val="28"/>
        </w:rPr>
        <w:t>%</w:t>
      </w:r>
      <w:r w:rsidRPr="00385872">
        <w:rPr>
          <w:szCs w:val="28"/>
        </w:rPr>
        <w:t>.</w:t>
      </w:r>
    </w:p>
    <w:p w:rsidR="006440EE" w:rsidRPr="00385872" w:rsidRDefault="006440EE" w:rsidP="006440EE">
      <w:pPr>
        <w:ind w:firstLine="851"/>
        <w:jc w:val="both"/>
        <w:rPr>
          <w:szCs w:val="28"/>
        </w:rPr>
      </w:pPr>
      <w:r w:rsidRPr="00385872">
        <w:rPr>
          <w:szCs w:val="28"/>
        </w:rPr>
        <w:t>Общая сумма инвестиций в основной капитал на 20</w:t>
      </w:r>
      <w:r>
        <w:rPr>
          <w:szCs w:val="28"/>
        </w:rPr>
        <w:t>21-2023</w:t>
      </w:r>
      <w:r w:rsidRPr="00385872">
        <w:rPr>
          <w:szCs w:val="28"/>
        </w:rPr>
        <w:t xml:space="preserve"> год</w:t>
      </w:r>
      <w:r>
        <w:rPr>
          <w:szCs w:val="28"/>
        </w:rPr>
        <w:t>ах</w:t>
      </w:r>
      <w:r w:rsidRPr="00385872">
        <w:rPr>
          <w:szCs w:val="28"/>
        </w:rPr>
        <w:t xml:space="preserve"> составит </w:t>
      </w:r>
      <w:r>
        <w:rPr>
          <w:szCs w:val="28"/>
          <w:u w:val="single"/>
        </w:rPr>
        <w:t>1427</w:t>
      </w:r>
      <w:r w:rsidRPr="005741E1">
        <w:rPr>
          <w:szCs w:val="28"/>
          <w:u w:val="single"/>
        </w:rPr>
        <w:t>,0</w:t>
      </w:r>
      <w:r w:rsidRPr="00385872">
        <w:rPr>
          <w:szCs w:val="28"/>
        </w:rPr>
        <w:t xml:space="preserve"> тыс. рублей. Основными источниками финансирования инвестиций в основной капитал являются со</w:t>
      </w:r>
      <w:r>
        <w:rPr>
          <w:szCs w:val="28"/>
        </w:rPr>
        <w:t>бственные средства предприятия. 572</w:t>
      </w:r>
      <w:r w:rsidRPr="00385872">
        <w:rPr>
          <w:szCs w:val="28"/>
        </w:rPr>
        <w:t xml:space="preserve">,4 тыс. руб., </w:t>
      </w:r>
      <w:r>
        <w:rPr>
          <w:szCs w:val="28"/>
        </w:rPr>
        <w:t>прямые инвестиции</w:t>
      </w:r>
      <w:r w:rsidRPr="00385872">
        <w:rPr>
          <w:szCs w:val="28"/>
        </w:rPr>
        <w:t xml:space="preserve"> - 1258,6 тыс. руб. Удельный вес затрат на приобретение оборудовани</w:t>
      </w:r>
      <w:r>
        <w:rPr>
          <w:szCs w:val="28"/>
        </w:rPr>
        <w:t>я в общем объеме инвестиций в период с 2020 по 2023 год</w:t>
      </w:r>
      <w:r w:rsidRPr="00385872">
        <w:rPr>
          <w:szCs w:val="28"/>
        </w:rPr>
        <w:t xml:space="preserve"> составит </w:t>
      </w:r>
      <w:r>
        <w:rPr>
          <w:szCs w:val="28"/>
        </w:rPr>
        <w:t>40</w:t>
      </w:r>
      <w:r w:rsidRPr="00385872">
        <w:rPr>
          <w:szCs w:val="28"/>
        </w:rPr>
        <w:t xml:space="preserve"> %.</w:t>
      </w:r>
    </w:p>
    <w:p w:rsidR="006440EE" w:rsidRDefault="006440EE" w:rsidP="006440EE">
      <w:pPr>
        <w:ind w:firstLine="851"/>
        <w:jc w:val="both"/>
        <w:rPr>
          <w:szCs w:val="28"/>
        </w:rPr>
      </w:pPr>
      <w:r w:rsidRPr="00385872">
        <w:rPr>
          <w:szCs w:val="28"/>
        </w:rPr>
        <w:t xml:space="preserve">В 2020-2025 гг. инвестиционная деятельность предприятия будет направлена на </w:t>
      </w:r>
      <w:r>
        <w:rPr>
          <w:szCs w:val="28"/>
        </w:rPr>
        <w:t xml:space="preserve">освоение новых видов деятельности и организацию участков литья в ХТС, механообработки и изготовления пресс-форм. </w:t>
      </w:r>
      <w:r w:rsidRPr="00385872">
        <w:rPr>
          <w:szCs w:val="28"/>
        </w:rPr>
        <w:t xml:space="preserve">С </w:t>
      </w:r>
      <w:r>
        <w:rPr>
          <w:szCs w:val="28"/>
        </w:rPr>
        <w:t>увеличения глубины переработки и производства продукции с высоко добавленной стоимостью</w:t>
      </w:r>
      <w:r w:rsidRPr="00385872">
        <w:rPr>
          <w:szCs w:val="28"/>
        </w:rPr>
        <w:t xml:space="preserve"> </w:t>
      </w:r>
      <w:r>
        <w:rPr>
          <w:szCs w:val="28"/>
        </w:rPr>
        <w:t xml:space="preserve">будет увеличена доля </w:t>
      </w:r>
      <w:proofErr w:type="gramStart"/>
      <w:r>
        <w:rPr>
          <w:szCs w:val="28"/>
        </w:rPr>
        <w:t>производств</w:t>
      </w:r>
      <w:proofErr w:type="gramEnd"/>
      <w:r>
        <w:rPr>
          <w:szCs w:val="28"/>
        </w:rPr>
        <w:t xml:space="preserve"> а инновационной продукции – отливок и готовых изделий из нержавеющей стали и высоколегированных чугунов</w:t>
      </w:r>
    </w:p>
    <w:p w:rsidR="006440EE" w:rsidRPr="00385872" w:rsidRDefault="006440EE" w:rsidP="006440EE">
      <w:pPr>
        <w:ind w:firstLine="851"/>
        <w:jc w:val="both"/>
        <w:rPr>
          <w:szCs w:val="28"/>
        </w:rPr>
      </w:pPr>
    </w:p>
    <w:p w:rsidR="006440EE" w:rsidRPr="00385872" w:rsidRDefault="006440EE" w:rsidP="006440EE">
      <w:pPr>
        <w:ind w:firstLine="851"/>
        <w:jc w:val="both"/>
        <w:rPr>
          <w:szCs w:val="28"/>
        </w:rPr>
      </w:pPr>
    </w:p>
    <w:p w:rsidR="006440EE" w:rsidRDefault="006440EE" w:rsidP="006440EE">
      <w:pPr>
        <w:numPr>
          <w:ilvl w:val="0"/>
          <w:numId w:val="1"/>
        </w:numPr>
        <w:ind w:left="0" w:firstLine="851"/>
        <w:jc w:val="both"/>
        <w:rPr>
          <w:b/>
          <w:szCs w:val="28"/>
        </w:rPr>
      </w:pPr>
      <w:r w:rsidRPr="003F57E9">
        <w:rPr>
          <w:b/>
          <w:szCs w:val="28"/>
        </w:rPr>
        <w:t>Прочие важнейшие мероприятия по развитию предприятия в 2020-2025 гг.</w:t>
      </w:r>
    </w:p>
    <w:p w:rsidR="006440EE" w:rsidRPr="008C7FBC" w:rsidRDefault="006440EE" w:rsidP="006440EE">
      <w:pPr>
        <w:ind w:firstLine="851"/>
        <w:jc w:val="both"/>
        <w:rPr>
          <w:szCs w:val="28"/>
        </w:rPr>
      </w:pPr>
      <w:r w:rsidRPr="008C7FBC">
        <w:rPr>
          <w:szCs w:val="28"/>
        </w:rPr>
        <w:t xml:space="preserve">Важнейшими мероприятиями по развитию </w:t>
      </w:r>
      <w:r>
        <w:rPr>
          <w:szCs w:val="28"/>
        </w:rPr>
        <w:t xml:space="preserve">также </w:t>
      </w:r>
      <w:r w:rsidRPr="008C7FBC">
        <w:rPr>
          <w:szCs w:val="28"/>
        </w:rPr>
        <w:t>являются:</w:t>
      </w:r>
    </w:p>
    <w:p w:rsidR="006440EE" w:rsidRPr="008C7FBC" w:rsidRDefault="006440EE" w:rsidP="006440EE">
      <w:pPr>
        <w:ind w:firstLine="851"/>
        <w:jc w:val="both"/>
        <w:rPr>
          <w:szCs w:val="28"/>
        </w:rPr>
      </w:pPr>
      <w:r w:rsidRPr="008C7FBC">
        <w:rPr>
          <w:szCs w:val="28"/>
        </w:rPr>
        <w:t>Модернизация фрезерных станков для изготовления пенополистирольных моделей (2021 год)</w:t>
      </w:r>
    </w:p>
    <w:p w:rsidR="006440EE" w:rsidRPr="008C7FBC" w:rsidRDefault="006440EE" w:rsidP="006440EE">
      <w:pPr>
        <w:ind w:firstLine="851"/>
        <w:jc w:val="both"/>
        <w:rPr>
          <w:szCs w:val="28"/>
        </w:rPr>
      </w:pPr>
      <w:r w:rsidRPr="008C7FBC">
        <w:rPr>
          <w:szCs w:val="28"/>
        </w:rPr>
        <w:t>Улучшение условия труда сотрудников и расширение производственных площадей за счет строительства склада готовой продукции (2021 год)</w:t>
      </w:r>
    </w:p>
    <w:p w:rsidR="006440EE" w:rsidRPr="008C7FBC" w:rsidRDefault="006440EE" w:rsidP="006440EE">
      <w:pPr>
        <w:ind w:firstLine="851"/>
        <w:jc w:val="both"/>
        <w:rPr>
          <w:szCs w:val="28"/>
        </w:rPr>
      </w:pPr>
      <w:r w:rsidRPr="008C7FBC">
        <w:rPr>
          <w:szCs w:val="28"/>
        </w:rPr>
        <w:t xml:space="preserve">Повышения уровня автоматизации и </w:t>
      </w:r>
      <w:proofErr w:type="spellStart"/>
      <w:r w:rsidRPr="008C7FBC">
        <w:rPr>
          <w:szCs w:val="28"/>
        </w:rPr>
        <w:t>цифровизации</w:t>
      </w:r>
      <w:proofErr w:type="spellEnd"/>
      <w:r w:rsidRPr="008C7FBC">
        <w:rPr>
          <w:szCs w:val="28"/>
        </w:rPr>
        <w:t xml:space="preserve"> производства в соответствии с положениями концепции Индустрия 4.0 (2021-2025)</w:t>
      </w:r>
    </w:p>
    <w:p w:rsidR="006440EE" w:rsidRPr="008C7FBC" w:rsidRDefault="006440EE" w:rsidP="006440EE">
      <w:pPr>
        <w:ind w:firstLine="851"/>
        <w:jc w:val="both"/>
        <w:rPr>
          <w:szCs w:val="28"/>
        </w:rPr>
      </w:pPr>
      <w:r w:rsidRPr="008C7FBC">
        <w:rPr>
          <w:szCs w:val="28"/>
        </w:rPr>
        <w:t>Приобретение оборудования (2021-2023)</w:t>
      </w:r>
    </w:p>
    <w:p w:rsidR="006440EE" w:rsidRPr="008C7FBC" w:rsidRDefault="006440EE" w:rsidP="006440EE">
      <w:pPr>
        <w:numPr>
          <w:ilvl w:val="0"/>
          <w:numId w:val="2"/>
        </w:numPr>
        <w:ind w:left="0" w:firstLine="851"/>
        <w:jc w:val="both"/>
        <w:rPr>
          <w:szCs w:val="28"/>
        </w:rPr>
      </w:pPr>
      <w:r w:rsidRPr="008C7FBC">
        <w:rPr>
          <w:szCs w:val="28"/>
        </w:rPr>
        <w:lastRenderedPageBreak/>
        <w:t>для плавильного участка индукционная печь 300кг</w:t>
      </w:r>
    </w:p>
    <w:p w:rsidR="006440EE" w:rsidRPr="008C7FBC" w:rsidRDefault="006440EE" w:rsidP="006440EE">
      <w:pPr>
        <w:numPr>
          <w:ilvl w:val="0"/>
          <w:numId w:val="2"/>
        </w:numPr>
        <w:ind w:left="0" w:firstLine="851"/>
        <w:jc w:val="both"/>
        <w:rPr>
          <w:szCs w:val="28"/>
        </w:rPr>
      </w:pPr>
      <w:r w:rsidRPr="008C7FBC">
        <w:rPr>
          <w:szCs w:val="28"/>
        </w:rPr>
        <w:t>для участка пресс-форм универсальный фрезерный станок</w:t>
      </w:r>
    </w:p>
    <w:p w:rsidR="006440EE" w:rsidRPr="008C7FBC" w:rsidRDefault="006440EE" w:rsidP="006440EE">
      <w:pPr>
        <w:numPr>
          <w:ilvl w:val="0"/>
          <w:numId w:val="2"/>
        </w:numPr>
        <w:ind w:left="0" w:firstLine="851"/>
        <w:jc w:val="both"/>
        <w:rPr>
          <w:szCs w:val="28"/>
        </w:rPr>
      </w:pPr>
      <w:r w:rsidRPr="008C7FBC">
        <w:rPr>
          <w:szCs w:val="28"/>
        </w:rPr>
        <w:t>для формовочн</w:t>
      </w:r>
      <w:bookmarkStart w:id="0" w:name="_GoBack"/>
      <w:bookmarkEnd w:id="0"/>
      <w:r w:rsidRPr="008C7FBC">
        <w:rPr>
          <w:szCs w:val="28"/>
        </w:rPr>
        <w:t xml:space="preserve">ого участка 3д-принтер песчаных форм </w:t>
      </w:r>
    </w:p>
    <w:p w:rsidR="006440EE" w:rsidRPr="008C7FBC" w:rsidRDefault="006440EE" w:rsidP="006440EE">
      <w:pPr>
        <w:ind w:firstLine="851"/>
        <w:jc w:val="both"/>
        <w:rPr>
          <w:szCs w:val="28"/>
        </w:rPr>
      </w:pPr>
      <w:r w:rsidRPr="008C7FBC">
        <w:rPr>
          <w:szCs w:val="28"/>
        </w:rPr>
        <w:t>Корректировка мотивационной части оплаты труда сотрудников в зависимости от ключевых показателей эффективности деятельности предприятия (постоянно)</w:t>
      </w:r>
    </w:p>
    <w:p w:rsidR="006440EE" w:rsidRPr="008C7FBC" w:rsidRDefault="006440EE" w:rsidP="006440EE">
      <w:pPr>
        <w:ind w:firstLine="851"/>
        <w:jc w:val="both"/>
        <w:rPr>
          <w:szCs w:val="28"/>
        </w:rPr>
      </w:pPr>
      <w:r w:rsidRPr="008C7FBC">
        <w:rPr>
          <w:szCs w:val="28"/>
        </w:rPr>
        <w:t>Акционирование предприятия (2024-2025)</w:t>
      </w:r>
    </w:p>
    <w:p w:rsidR="005978D4" w:rsidRDefault="005978D4"/>
    <w:sectPr w:rsidR="00597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5C2"/>
    <w:multiLevelType w:val="hybridMultilevel"/>
    <w:tmpl w:val="7B8E7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350C7"/>
    <w:multiLevelType w:val="hybridMultilevel"/>
    <w:tmpl w:val="322401E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EE"/>
    <w:rsid w:val="005978D4"/>
    <w:rsid w:val="0064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EE"/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EE"/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</cp:revision>
  <dcterms:created xsi:type="dcterms:W3CDTF">2020-11-05T09:55:00Z</dcterms:created>
  <dcterms:modified xsi:type="dcterms:W3CDTF">2020-11-05T09:55:00Z</dcterms:modified>
</cp:coreProperties>
</file>